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микробиология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03:32 МСК · База обновлена: 28.08.2026, 00:08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Медицинская микробиология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референс-центр по малярии для контроля и подтверждения диагноза доставлены препараты крови на малярию (см. фото). В результатах анализа диагноз: _P__.__falciparum_, кольцевидные трофозоиты. Интенсивность паразитемии: ++++</w:t>
      </w:r>
    </w:p>
    <w:p>
      <w:r>
        <w:drawing>
          <wp:inline xmlns:a="http://schemas.openxmlformats.org/drawingml/2006/main" xmlns:pic="http://schemas.openxmlformats.org/drawingml/2006/picture">
            <wp:extent cx="5303520" cy="3705576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8a61b0b55d3a46ecadb0254025410d47c25020f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70557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Ситуация</w:t>
      </w:r>
    </w:p>
    <w:p>
      <w:pPr>
        <w:pStyle w:val="Heading2"/>
      </w:pPr>
      <w:r>
        <w:t>1. Эпидемиологический надзор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обнаружения эритроцитарных форм плазмодиев и определения их вида используют препараты крови, приготовленные методом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тонкого мазка и толстой капли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толстого мазка и толстой капли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толстого мазка и тонкой капли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нативного мазка и толстой капли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тонкого мазка и толстой капли</w:t>
      </w:r>
    </w:p>
    <w:p>
      <w:pPr>
        <w:spacing w:after="58"/>
      </w:pPr>
      <w:r>
        <w:rPr>
          <w:b w:val="0"/>
          <w:i w:val="0"/>
        </w:rPr>
        <w:t>Для обнаружения эритроцитарных форм плазмодиев и определения их вида используют препараты крови, приготовленные методом тонкого мазка и толстой капли, окрашенные по методу Романовского – Гимза.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 .4.5.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обнаружения эритроцитарных форм плазмодиев и определения их вида используют препараты крови, окрашенные по методу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Циля – Нильсена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Романовского – Гимза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Маллори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Романовского – Гимза</w:t>
      </w:r>
    </w:p>
    <w:p>
      <w:pPr>
        <w:spacing w:after="58"/>
      </w:pPr>
      <w:r>
        <w:rPr>
          <w:b w:val="0"/>
          <w:i w:val="0"/>
        </w:rPr>
        <w:t>Для обнаружения эритроцитарных форм плазмодиев и определения их вида используют препараты крови, приготовленные методом тонкого мазка и толстой капли, окрашенные по методу Романовского – Гимза.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 .4.5.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Правильно окрашенный препарат крови для исследования на малярию макроскопически имеет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фиолетовый цвет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розовый цвет с сиреневым оттенком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синий цвет с сиреневым оттенком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зеленый цвет с синим оттенком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синий цвет с сиреневым оттенком</w:t>
      </w:r>
    </w:p>
    <w:p>
      <w:pPr>
        <w:spacing w:after="58"/>
      </w:pPr>
      <w:r>
        <w:rPr>
          <w:b w:val="0"/>
          <w:i w:val="0"/>
        </w:rPr>
        <w:t>Правильно окрашенный препарат макроскопически имеет синий цвет с сиреневым оттенком.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 .4.5.1.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Использовать венозную кровь для приготовления препаратов для исследования на малярию можно только в случаях, если известно, что в качестве антикоагулянта применяли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фторид натрия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ЭДТА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цитрат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гепарин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ЭДТА</w:t>
      </w:r>
    </w:p>
    <w:p>
      <w:pPr>
        <w:spacing w:after="58"/>
      </w:pPr>
      <w:r>
        <w:rPr>
          <w:b w:val="0"/>
          <w:i w:val="0"/>
        </w:rPr>
        <w:t>Использовать венозную кровь можно только в случаях, если известно, что в качестве антикоагулянта применяли ЭДТА (этилендиаминтетрауксусная кислота), другие антикоагулянты, такие как гепарин, цитрат, не должны быть использованы, так как они могут влиять на морфологию паразитов.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 .4.3.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Показателем достаточного содержания крови в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является обнаружение в 1 поле зрения микроскопа в среднем 10-20 лейкоцитов (увеличение: объектив ×90 – ×100, окуляр ×7; ×8; ×10)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тонком мазке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нативном мазке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толстой капле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тонкой капле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толстой капле</w:t>
      </w:r>
    </w:p>
    <w:p>
      <w:pPr>
        <w:spacing w:after="58"/>
      </w:pPr>
      <w:r>
        <w:rPr>
          <w:b w:val="0"/>
          <w:i w:val="0"/>
        </w:rPr>
        <w:t>Независимо от методики приготовления показателем достаточного содержания крови в толстой капле является обнаружение в 1 поле зрения микроскопа в среднем 10-20 лейкоцитов (увеличение: объектив ×90 - ×100, окуляр ×7; ×8; ×10).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 .4.4.1.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pH буферного раствора для приготовления рабочего раствора красителя Романовского – Гимза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7,3-7,5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7,0-7,2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7,7-7,9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6,5-6,7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2 - 7,0-7,2</w:t>
      </w:r>
    </w:p>
    <w:p>
      <w:pPr>
        <w:spacing w:after="58"/>
      </w:pPr>
      <w:r>
        <w:rPr>
          <w:b w:val="0"/>
          <w:i w:val="0"/>
        </w:rPr>
        <w:t>Приготовленный раствор должен иметь рН (7,0 ± 0,2). Точное соблюдение требуемой реакции буфера важно для правильной окраски. Если рН &lt; 6,8, то следует добавить Na2HPO4, если рН &gt; 7,2, то добавляется KH2PO4. Количество реактивов, необходимых для доведения pH, подбирают опытным путем.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 .4.2.2.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Фиксируют препараты крови на малярию, приготовленные только методом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тонкого мазка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тонкой капли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толстого мазка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толстой капли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тонкого мазка</w:t>
      </w:r>
    </w:p>
    <w:p>
      <w:pPr>
        <w:spacing w:after="58"/>
      </w:pPr>
      <w:r>
        <w:rPr>
          <w:b w:val="0"/>
          <w:i w:val="0"/>
        </w:rPr>
        <w:t>Фиксация тонких мазков</w:t>
      </w:r>
    </w:p>
    <w:p>
      <w:pPr>
        <w:spacing w:after="58"/>
      </w:pPr>
      <w:r>
        <w:rPr>
          <w:b w:val="0"/>
          <w:i w:val="0"/>
        </w:rPr>
        <w:t>1. Фиксацию мазков проводят путем погружения: этиловым спиртом 96° – 10 мин либо смесью Никифорова – 20 мин., фиксатором-красителем по Май–Грюнвальду – 2-3 мин.</w:t>
      </w:r>
    </w:p>
    <w:p>
      <w:pPr>
        <w:spacing w:after="58"/>
      </w:pPr>
      <w:r>
        <w:rPr>
          <w:b w:val="0"/>
          <w:i w:val="0"/>
        </w:rPr>
        <w:t>2. Мазки погружают и извлекают из фиксирующей жидкости пинцетом.</w:t>
      </w:r>
    </w:p>
    <w:p>
      <w:pPr>
        <w:spacing w:after="58"/>
      </w:pPr>
      <w:r>
        <w:rPr>
          <w:b w:val="0"/>
          <w:i w:val="0"/>
        </w:rPr>
        <w:t>3. Препараты по окончании фиксации высушивают на воздухе.</w:t>
      </w:r>
    </w:p>
    <w:p>
      <w:pPr>
        <w:spacing w:after="58"/>
      </w:pPr>
      <w:r>
        <w:rPr>
          <w:b w:val="0"/>
          <w:i w:val="0"/>
        </w:rPr>
        <w:t>Препарат толстая капля не фиксируют!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п. 4.4.4.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Фиксацию препаратов крови на малярию проводят путем погружения в 96° этиловый спирт на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3 - 10</w:t>
      </w:r>
    </w:p>
    <w:p>
      <w:pPr>
        <w:spacing w:after="58"/>
      </w:pPr>
      <w:r>
        <w:rPr>
          <w:b w:val="0"/>
          <w:i w:val="0"/>
        </w:rPr>
        <w:t>Фиксация тонких мазков</w:t>
      </w:r>
    </w:p>
    <w:p>
      <w:pPr>
        <w:spacing w:after="58"/>
      </w:pPr>
      <w:r>
        <w:rPr>
          <w:b w:val="0"/>
          <w:i w:val="0"/>
        </w:rPr>
        <w:t>1. Фиксацию мазков проводят путем погружения: этиловым спиртом 96° – 10 мин либо смесью Никифорова – 20 мин, фиксатором-красителем по Май–Грюнвальду – 2-3 мин.</w:t>
      </w:r>
    </w:p>
    <w:p>
      <w:pPr>
        <w:spacing w:after="58"/>
      </w:pPr>
      <w:r>
        <w:rPr>
          <w:b w:val="0"/>
          <w:i w:val="0"/>
        </w:rPr>
        <w:t>2. Мазки погружают и извлекают из фиксирующей жидкости пинцетом.</w:t>
      </w:r>
    </w:p>
    <w:p>
      <w:pPr>
        <w:spacing w:after="58"/>
      </w:pPr>
      <w:r>
        <w:rPr>
          <w:b w:val="0"/>
          <w:i w:val="0"/>
        </w:rPr>
        <w:t>3. Препараты по окончании фиксации высушивают на воздухе.</w:t>
      </w:r>
    </w:p>
    <w:p>
      <w:pPr>
        <w:spacing w:after="58"/>
      </w:pPr>
      <w:r>
        <w:rPr>
          <w:b w:val="0"/>
          <w:i w:val="0"/>
        </w:rPr>
        <w:t>Препарат толстая капля не фиксируют!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п. 4.4.4.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Помимо этилового спирта, в качестве фиксирующего реагента может использоваться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ледяная уксусная кислота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азотнокислый натрий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фиксатор Шаудина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фиксатор-краситель по Май – Грюнвальду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фиксатор-краситель по Май – Грюнвальду</w:t>
      </w:r>
    </w:p>
    <w:p>
      <w:pPr>
        <w:spacing w:after="58"/>
      </w:pPr>
      <w:r>
        <w:rPr>
          <w:b w:val="0"/>
          <w:i w:val="0"/>
        </w:rPr>
        <w:t>Фиксация тонких мазков</w:t>
      </w:r>
    </w:p>
    <w:p>
      <w:pPr>
        <w:spacing w:after="58"/>
      </w:pPr>
      <w:r>
        <w:rPr>
          <w:b w:val="0"/>
          <w:i w:val="0"/>
        </w:rPr>
        <w:t>1. Фиксацию мазков проводят путем погружения: этиловым спиртом 96° – 10 мин либо смесью Никифорова – 20 мин, фиксатором-красителем по Май–Грюнвальду – 2-3 мин.</w:t>
      </w:r>
    </w:p>
    <w:p>
      <w:pPr>
        <w:spacing w:after="58"/>
      </w:pPr>
      <w:r>
        <w:rPr>
          <w:b w:val="0"/>
          <w:i w:val="0"/>
        </w:rPr>
        <w:t>2. Мазки погружают и извлекают из фиксирующей жидкости пинцетом.</w:t>
      </w:r>
    </w:p>
    <w:p>
      <w:pPr>
        <w:spacing w:after="58"/>
      </w:pPr>
      <w:r>
        <w:rPr>
          <w:b w:val="0"/>
          <w:i w:val="0"/>
        </w:rPr>
        <w:t>3. Препараты по окончании фиксации высушивают на воздухе.</w:t>
      </w:r>
    </w:p>
    <w:p>
      <w:pPr>
        <w:spacing w:after="58"/>
      </w:pPr>
      <w:r>
        <w:rPr>
          <w:b w:val="0"/>
          <w:i w:val="0"/>
        </w:rPr>
        <w:t>Препарат толстая капля не фиксируют!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4, п. 4.4.4.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Азурофильные элементы, обнаруживающиеся в эритроцитах, пораженных _P.falciparum_, называют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пятнистостью Маурера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зернистостью Джеймса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зернистостью Шюффнера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пятнистостью Зимана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пятнистостью Маурера</w:t>
      </w:r>
    </w:p>
    <w:p>
      <w:pPr>
        <w:spacing w:after="58"/>
      </w:pPr>
      <w:r>
        <w:rPr>
          <w:b w:val="0"/>
          <w:i w:val="0"/>
        </w:rPr>
        <w:t>В эритроцитах, содержащих крупные кольца и последующие возрастные стадии, иногда обнаруживается так называемая пятнистость Маурера – азурофильные элементы более крупного (но не одинакового размера), чем зернистость Шюффнера или Джеймса (их, в отличие от элементов зернистости, можно пересчитать).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5, п.5.1.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Кольцевидные трофозоиты _P.falciparum_ представлены на изображении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Рис.4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Рис.2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Рис.3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Рис.1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Рис.1</w:t>
      </w:r>
    </w:p>
    <w:p>
      <w:pPr>
        <w:spacing w:after="58"/>
      </w:pPr>
      <w:r>
        <w:rPr>
          <w:b w:val="0"/>
          <w:i w:val="0"/>
        </w:rPr>
        <w:t>Кольцевидные трофозоиты. В основном меньшего размера, чем кольца других видов паразитов. Занимают 1/5 – 1/10 пораженного эритроцита. Молодые кольца очень мелкие, ядро четко выражено, иногда представлено двумя отдельными скоплениями хроматина: более крупное – ядро собственно и мелкое – кариосома; они могут быть расположены рядом или на расстоянии друг от друга, тогда кольцо напоминает «подкову».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22.09.2014), Раздел 5, п.5.1.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Методы контроля, биологические и микробиологические факторы. Лабораторная диагностика малярии и бабезиозов. Методические указания. МУК 4.2.3222-14 (утв. Главным государственным санитарным врачом РФ 22.09.2014)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Возбудитель малярии относится к классу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_Cestoda_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_Trematoda_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_Sporozoa_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_Nematoda_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_Sporozoa_</w:t>
      </w:r>
    </w:p>
    <w:p>
      <w:pPr>
        <w:spacing w:after="58"/>
      </w:pPr>
      <w:r>
        <w:rPr>
          <w:b w:val="0"/>
          <w:i w:val="0"/>
        </w:rPr>
        <w:t>Возбудители малярии относятся к подцарству простейших – _Protozoa_, классу споровиков – _Sporozoa_, семейству _Plasmodiidae_, роду _Plasmodium_.</w:t>
      </w:r>
    </w:p>
    <w:p>
      <w:pPr>
        <w:spacing w:after="58"/>
      </w:pPr>
      <w:r>
        <w:rPr>
          <w:b w:val="0"/>
          <w:i w:val="0"/>
        </w:rPr>
        <w:t>Глава 9, раздел 9.1.1. Брико Н.И., Руководство по эпидемиологии инфекционных болезней, т.2 / Н.И. Брико, Г.Г.Онищенко, В.И. Покровский - М. : МИА, 2019. - 764 с. - ISBN 978-5-9986-0356-3</w:t>
      </w:r>
    </w:p>
    <w:p>
      <w:pPr>
        <w:spacing w:after="58"/>
      </w:pPr>
      <w:r>
        <w:rPr>
          <w:b w:val="0"/>
          <w:i w:val="0"/>
        </w:rPr>
        <w:t>Алексеев, В. В. Медицинские лабораторные технологии : руководство по клинической лабораторной диагностике : в 2 т. Т. 1 / [В. В. Алексеев и др. ]; под ред. А. И. Карпищенко. - 3-е изд. , перераб. и доп. - Москва : ГЭОТАР-Медиа, 2012. - 472 с. - ISBN 978-5-9704-2274-8.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4997094"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088b1341b314f40700fb7cd8cd0dd967a212e31.jp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99709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4749597"/>
            <wp:docPr id="19" name="Picture 1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f14db5f4b1f661b7cd9584a67cb10df516a59d0.jp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74959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4874471"/>
            <wp:docPr id="20" name="Picture 2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363c51220b4d300cd491330a2a9332087efe1fa.jp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87447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3918763"/>
            <wp:docPr id="21" name="Picture 2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77c5232caa1096cd6bccd34c147b62531e9dac3.jp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1876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br w:type="page"/>
      </w:r>
    </w:p>
    <w:p>
      <w:pPr>
        <w:pStyle w:val="Heading1"/>
      </w:pPr>
      <w:bookmarkStart w:id="22" w:name="case_0002"/>
      <w:r>
        <w:t>Ситуационная задача 0002</w:t>
      </w:r>
      <w:bookmarkEnd w:id="2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Медицинская микробиология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При диспансеризации у женщины 29 лет выявлены антитела на ВИЧ. Впоследствии диагноз ВИЧ-инфекция был подтвержден. Вирус иммунодефицита человека I типа (ВИЧ-1) является этиологическим агентом синдрома приобретенного иммунодефицита (СПИД), тяжелого заболевания иммунной системы, которое сопровождается развитием оппортунистических инфекций и неопластических образований и заканчивается летальным исходом. С диагнозом «ВИЧ-инфекция» женщина встала на диспансерный учет в специализированном Центре.</w:t>
      </w:r>
    </w:p>
    <w:p>
      <w:pPr>
        <w:pStyle w:val="Heading2"/>
      </w:pPr>
      <w:r>
        <w:t>1. Методическое обеспечение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Геном вируса иммунодефицита человека I типа (ВИЧ) представлен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двумя идентичными нитями позитивной 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одноцепочечной фрагментированной 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двухцепочечной кольцевой 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одноцепочечной кольцевой РНК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двумя идентичными нитями позитивной РНК</w:t>
      </w:r>
    </w:p>
    <w:p>
      <w:pPr>
        <w:spacing w:after="58"/>
      </w:pPr>
      <w:r>
        <w:rPr>
          <w:b w:val="0"/>
          <w:i w:val="0"/>
        </w:rPr>
        <w:t>Геном вируса иммунодефицита человека I-го типа (ВИЧ) представлен двумя идентичными нитями позитивной РНК.</w:t>
      </w:r>
    </w:p>
    <w:p>
      <w:pPr>
        <w:spacing w:after="58"/>
      </w:pPr>
      <w:r>
        <w:rPr>
          <w:b w:val="0"/>
          <w:i w:val="0"/>
        </w:rPr>
        <w:t>Медицинская вирусология. Руководство /под редакцией академика РАМН Д.К. Львова. – М.: ООО «Медицинское информационное агентство», 2008. Раздел 2.1.17. Ретровирусы, стр. 207.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Характерной чертой ВИЧ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оболочки капсида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устойчивость к высоким температурам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потребность в вирусе-помощнике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жизненном цикле стадии обратной транскрипции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наличие в жизненном цикле стадии обратной транскрипции</w:t>
      </w:r>
    </w:p>
    <w:p>
      <w:pPr>
        <w:spacing w:after="58"/>
      </w:pPr>
      <w:r>
        <w:rPr>
          <w:b w:val="0"/>
          <w:i w:val="0"/>
        </w:rPr>
        <w:t>Характерной чертой ВИЧ является наличие стадии обратной транскрипции.</w:t>
      </w:r>
    </w:p>
    <w:p>
      <w:pPr>
        <w:spacing w:after="58"/>
      </w:pPr>
      <w:r>
        <w:rPr>
          <w:b w:val="0"/>
          <w:i w:val="0"/>
        </w:rPr>
        <w:t>Медицинская вирусология. Руководство /под редакцией академика РАМН Д.К. Львова. – М.: ООО «Медицинское информационное агентство», 2008. Раздел 2.4.5. ВИЧ-инфекция и СПИД, стр. 452.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Ключевым фактором при проникновении ВИЧ в клетку-мишень является взаимодействие молекул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gp41 и g24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gp41 и   CD8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gp120 с   CD4 и ко-рецептором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gp120 и g24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gp120 с   CD4 и ко-рецептором</w:t>
      </w:r>
    </w:p>
    <w:p>
      <w:pPr>
        <w:spacing w:after="58"/>
      </w:pPr>
      <w:r>
        <w:rPr>
          <w:b w:val="0"/>
          <w:i w:val="0"/>
        </w:rPr>
        <w:t>Ключевым фактором при проникновении ВИЧ в клетку-мишень является взаимодействие молекул gp120 с   CD4 и ко-рецептором.</w:t>
      </w:r>
    </w:p>
    <w:p>
      <w:pPr>
        <w:spacing w:after="58"/>
      </w:pPr>
      <w:r>
        <w:rPr>
          <w:b w:val="0"/>
          <w:i w:val="0"/>
        </w:rPr>
        <w:t>Медицинская вирусология. Руководство /под редакцией академика РАМН Д.К. Львова. – М.: ООО «Медицинское информационное агентство», 2008. Раздел 2.4.5. «ВИЧ-инфекция и СПИД», стр. 453.</w:t>
      </w:r>
    </w:p>
    <w:p>
      <w:pPr>
        <w:pStyle w:val="Heading2"/>
      </w:pPr>
      <w:r>
        <w:t>2. Выполнение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Методом, подтверждающим результаты скринингового исследования,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иммуноферментный анализ повторно в той же тест-системе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иммунный или линейный блот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полимеразная цепная реакция (ПЦР)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иммуноферментный анализ в тест-системе другого производителя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иммунный или линейный блот</w:t>
      </w:r>
    </w:p>
    <w:p>
      <w:pPr>
        <w:spacing w:after="58"/>
      </w:pPr>
      <w:r>
        <w:rPr>
          <w:b w:val="0"/>
          <w:i w:val="0"/>
        </w:rPr>
        <w:t>При получении положительного результата (во второй и/или третьей тест-системе) сыворотку необходимо исследовать в иммунном или линейном блоте.</w:t>
      </w:r>
    </w:p>
    <w:p>
      <w:pPr>
        <w:spacing w:after="58"/>
      </w:pPr>
      <w:r>
        <w:rPr>
          <w:b w:val="0"/>
          <w:i w:val="0"/>
        </w:rPr>
        <w:t>Рекомендации по лечению ВИЧ-инфекции и связанных с ней заболеваний, химиопрофилактике заражения ВИЧ, 2019. П.1.1.3.1.</w:t>
      </w:r>
    </w:p>
    <w:p>
      <w:pPr>
        <w:spacing w:after="58"/>
      </w:pPr>
      <w:r>
        <w:rPr>
          <w:b w:val="0"/>
          <w:i w:val="0"/>
        </w:rPr>
        <w:t>Раздел 1.1.3.1. Обнаружение антител к ВИЧ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РЕКОМЕНДАЦИИ ПО ЛЕЧЕНИЮ ВИЧ-ИНФЕКЦИИ И СВЯЗАННЫХ С НЕЙ ЗАБОЛЕВАНИЙ, ХИМИОПРОФИЛАКТИКЕ ЗАРАЖЕНИЯ ВИЧ, 2019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Под тропностью (фенотипом) ВИЧ подразумевают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тип используемых вирусом ко-рецепторов (   CCR5 и   CXCR4) для проникновения в клетки-мишени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способность вируса проникать в клетку-хозяина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способность вируса размножаться в присутствии лекарственных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локализацию вируса в различных компартментах организма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тип используемых вирусом ко-рецепторов (   CCR5 и   CXCR4) для проникновения в клетки-мишени</w:t>
      </w:r>
    </w:p>
    <w:p>
      <w:pPr>
        <w:spacing w:after="58"/>
      </w:pPr>
      <w:r>
        <w:rPr>
          <w:b w:val="0"/>
          <w:i w:val="0"/>
        </w:rPr>
        <w:t>Под тропностью (фенотипом) ВИЧ подразумевают тип используемых вирусом ко-рецепторов (   CCR5 и   CXCR4) для проникновения в клетки-мишени.</w:t>
      </w:r>
    </w:p>
    <w:p>
      <w:pPr>
        <w:spacing w:after="58"/>
      </w:pPr>
      <w:r>
        <w:rPr>
          <w:b w:val="0"/>
          <w:i w:val="0"/>
        </w:rPr>
        <w:t>Медицинская вирусология. Руководство /под редакцией академика РАМН Д.К. Львова. – М.: ООО «Медицинское информационное агентство», 2008. Раздел 2.4.5. ВИЧ-инфекция и СПИД, стр. 454.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Стандартным методом лабораторной диагностики ВИЧ-инфекции служит выявление </w:t>
      </w:r>
      <w:r>
        <w:rPr>
          <w:b w:val="0"/>
          <w:i w:val="0"/>
        </w:rPr>
        <w:t>__________________</w:t>
      </w:r>
      <w:r>
        <w:rPr>
          <w:b w:val="0"/>
          <w:i w:val="0"/>
        </w:rPr>
        <w:t xml:space="preserve"> с помощью ИФА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провирусной ДНК ВИЧ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вирусной РНК ВИЧ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ферментов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антител и антигенов ВИЧ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антител и антигенов ВИЧ</w:t>
      </w:r>
    </w:p>
    <w:p>
      <w:pPr>
        <w:spacing w:after="58"/>
      </w:pPr>
      <w:r>
        <w:rPr>
          <w:b w:val="0"/>
          <w:i w:val="0"/>
        </w:rPr>
        <w:t>Стандартным методом лабораторной диагностики ВИЧ-инфекции служит определение антител/антигена к ВИЧ с помощью диагностических тестов, одновременно выявляющих антитела к ВИЧ 1,2 и антиген р24 и разрешенных к применению в Российской Федерации в установленном порядке.</w:t>
      </w:r>
    </w:p>
    <w:p>
      <w:pPr>
        <w:spacing w:after="58"/>
      </w:pPr>
      <w:r>
        <w:rPr>
          <w:b w:val="0"/>
          <w:i w:val="0"/>
        </w:rPr>
        <w:t>Рекомендации по лечению ВИЧ-инфекции и связанных с ней заболеваний, химиопрофилактике заражения ВИЧ, 2019, п.1.1.3.</w:t>
      </w:r>
    </w:p>
    <w:p>
      <w:pPr>
        <w:spacing w:after="58"/>
      </w:pPr>
      <w:r>
        <w:rPr>
          <w:b w:val="0"/>
          <w:i w:val="0"/>
        </w:rPr>
        <w:t>Раздел 1.1.3. Лабораторное подтверждение диагноза ВИЧ-инфекции.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РЕКОМЕНДАЦИИ ПО ЛЕЧЕНИЮ ВИЧ-ИНФЕКЦИИ И СВЯЗАННЫХ С НЕЙ ЗАБОЛЕВАНИЙ, ХИМИОПРОФИЛАКТИКЕ ЗАРАЖЕНИЯ ВИЧ, 2019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дополнительного инструмента при проведении эпидемиологического расследования случаев ВИЧ-инфекции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иммунный блот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рентгеноспектральный анализ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генотипирование и филогенетический анализ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генотипирование и филогенетический анализ</w:t>
      </w:r>
    </w:p>
    <w:p>
      <w:pPr>
        <w:spacing w:after="58"/>
      </w:pPr>
      <w:r>
        <w:rPr>
          <w:b w:val="0"/>
          <w:i w:val="0"/>
        </w:rPr>
        <w:t>Генотипирование и филогенетический анализ нуклеотидных последовательностей необходимо использовать в качестве дополнительного инструмента при проведении эпидемиологического расследования случаев ВИЧ-инфекции, предположительно связанных с оказанием медицинской помощи, или других сложных (с эпидемиологической точки зрения) случаев.</w:t>
      </w:r>
    </w:p>
    <w:p>
      <w:pPr>
        <w:spacing w:after="58"/>
      </w:pPr>
      <w:r>
        <w:rPr>
          <w:b w:val="0"/>
          <w:i w:val="0"/>
        </w:rPr>
        <w:t>Методические указания МУ 3.1.3342-16 «Эпидемиологический надзор за ВИЧ-инфекцией» (утверждены Главным государственным санитарным врачом РФ), 2016. П. 5.4.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https://files.stroyinf.ru/Data2/1/4293750/4293750661.pdf</w:t>
        </w:r>
      </w:hyperlink>
    </w:p>
    <w:p>
      <w:pPr>
        <w:spacing w:after="58"/>
      </w:pPr>
      <w:r>
        <w:rPr>
          <w:b w:val="0"/>
          <w:i w:val="0"/>
        </w:rPr>
        <w:t>Раздел 5.1 Использование генотипирования ВИЧ и филогенетического анализа при проведении эпидемиологического расследования случаев ВИЧ-инфекции.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основе метода определения вирусной нагрузки лежит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посев на питательных средах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полимеразная цепная реакция (ПЦР)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секвенирование 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масс-спектрометрия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полимеразная цепная реакция (ПЦР)</w:t>
      </w:r>
    </w:p>
    <w:p>
      <w:pPr>
        <w:spacing w:after="58"/>
      </w:pPr>
      <w:r>
        <w:rPr>
          <w:b w:val="0"/>
          <w:i w:val="0"/>
        </w:rPr>
        <w:t>В основе метода определения вирусной нагрузки лежит полимеразная цепная реакция.</w:t>
      </w:r>
    </w:p>
    <w:p>
      <w:pPr>
        <w:spacing w:after="58"/>
      </w:pPr>
      <w:r>
        <w:rPr>
          <w:b w:val="0"/>
          <w:i w:val="0"/>
        </w:rPr>
        <w:t>Медицинская вирусология. Руководство /под редакцией академика РАМН Д.К. Львова. – М.: ООО «Медицинское информационное агентство», 2008. Раздел 2.3.2. Молекулярно-генетические методы, стр. 330.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ВИЧ-1 является этиологическим агентом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энцефаломиелита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синдрома приобретенного иммунодефицита (СПИД)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опоясывающего лишая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МАК-инфекции ( Mycobacterium avium complex)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синдрома приобретенного иммунодефицита (СПИД)</w:t>
      </w:r>
    </w:p>
    <w:p>
      <w:pPr>
        <w:spacing w:after="58"/>
      </w:pPr>
      <w:r>
        <w:rPr>
          <w:b w:val="0"/>
          <w:i w:val="0"/>
        </w:rPr>
        <w:t>ВИЧ-1 является этиологическим агентом синдрома приобретенного иммунодефицита (СПИД).</w:t>
      </w:r>
    </w:p>
    <w:p>
      <w:pPr>
        <w:spacing w:after="58"/>
      </w:pPr>
      <w:r>
        <w:rPr>
          <w:b w:val="0"/>
          <w:i w:val="0"/>
        </w:rPr>
        <w:t>Медицинская вирусология. Руководство/под редакцией академика РАМН Д.К. Львова. – М.: ООО «Медицинское информационное агентство», 2008. Раздел 2.4.5. ВИЧ-инфекция и СПИД, стр. 450.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механизмам передачи возбудителя ВИЧ-инфекции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фекально-оральный (алиментарный)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трансмиссивный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контактно-половой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воздушно-капельный (аэрогенный)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контактно-половой</w:t>
      </w:r>
    </w:p>
    <w:p>
      <w:pPr>
        <w:spacing w:after="58"/>
      </w:pPr>
      <w:r>
        <w:rPr>
          <w:b w:val="0"/>
          <w:i w:val="0"/>
        </w:rPr>
        <w:t>ВИЧ-инфекция может передаваться при реализации как естественного, так и искусственного механизма передачи.</w:t>
      </w:r>
    </w:p>
    <w:p>
      <w:pPr>
        <w:spacing w:after="58"/>
      </w:pPr>
      <w:r>
        <w:rPr>
          <w:b w:val="0"/>
          <w:i w:val="0"/>
        </w:rPr>
        <w:t>К естественным механизмам передачи ВИЧ относятся:</w:t>
      </w:r>
    </w:p>
    <w:p>
      <w:pPr>
        <w:spacing w:after="58"/>
      </w:pPr>
      <w:r>
        <w:rPr>
          <w:b w:val="0"/>
          <w:i w:val="0"/>
        </w:rPr>
        <w:t>* контактный, реализуемый преимущественно при половых контактах (как при гомо-, так и гетеросексуальных) и при контакте слизистой или раневой поверхности с кровью;</w:t>
      </w:r>
    </w:p>
    <w:p>
      <w:pPr>
        <w:spacing w:after="58"/>
      </w:pPr>
      <w:r>
        <w:rPr>
          <w:b w:val="0"/>
          <w:i w:val="0"/>
        </w:rPr>
        <w:t>* вертикальный (инфицирование ребенка от ВИЧ-инфицированной матери: во время беременности, в родах и при грудном вскармливании)».</w:t>
      </w:r>
    </w:p>
    <w:p>
      <w:pPr>
        <w:spacing w:after="58"/>
      </w:pPr>
      <w:r>
        <w:rPr>
          <w:b w:val="0"/>
          <w:i w:val="0"/>
        </w:rPr>
        <w:t>Методические указания МУ 3.1.3342-16 «Эпидемиологический надзор за ВИЧ-инфекцией» (утверждены Главным государственным санитарным врачом РФ), 2016. П. 5.4.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https://files.stroyinf.ru/Data2/1/4293750/4293750661.pdf</w:t>
        </w:r>
      </w:hyperlink>
    </w:p>
    <w:p>
      <w:pPr>
        <w:spacing w:after="58"/>
      </w:pPr>
      <w:r>
        <w:rPr>
          <w:b w:val="0"/>
          <w:i w:val="0"/>
        </w:rPr>
        <w:t>Раздел 3.2. Механизм, факторы, пути передачи ВИЧ-инфекции.</w:t>
      </w:r>
    </w:p>
    <w:p>
      <w:pPr>
        <w:pStyle w:val="Heading2"/>
      </w:pPr>
      <w:r>
        <w:t>3. Нормативные документы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выявлении положительных результатов на ВИЧ-инфекцию пациента направляют для дальнейшего обследования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любую инфекционную больницу для постановки на учет и наблюдения за пациентом с ВИЧ-инфекцией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поликлинику по месту жительства для оформления инвалидности с последующим начислением социальной пенсии, которая положена всем инвалидам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центр по профилактике и борьбе со СПИДом или другое учреждение, осуществляющее наблюдение за пациентами с ВИЧ-инфекцией согласно региональным порядкам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районную поликлинику к врачу-инфекционисту для постановки на учет и наблюдения за пациентом с ВИЧ-инфекцией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центр по профилактике и борьбе со СПИДом или другое учреждение, осуществляющее наблюдение за пациентами с ВИЧ-инфекцией согласно региональным порядкам</w:t>
      </w:r>
    </w:p>
    <w:p>
      <w:pPr>
        <w:spacing w:after="58"/>
      </w:pPr>
      <w:r>
        <w:rPr>
          <w:b w:val="0"/>
          <w:i w:val="0"/>
        </w:rPr>
        <w:t>При выявлении положительных результатов пациента направляют для дальнейшего обследования в Центр по профилактике и борьбе со СПИДом (или другое учреждение, осуществляющее наблюдение за пациентами с ВИЧ-инфекцией согласно региональным порядкам).</w:t>
      </w:r>
    </w:p>
    <w:p>
      <w:pPr>
        <w:spacing w:after="58"/>
      </w:pPr>
      <w:r>
        <w:rPr>
          <w:b w:val="0"/>
          <w:i w:val="0"/>
        </w:rPr>
        <w:t>Клинические рекомендации (протокол лечения) «Применение антиретровирусных препаратов в комплексе мер, направленных на профилактику передачи ВИЧ от матери ребенку» (письмо Минздрава РФ от 3 июня 2015 г. № 15-4/10/2-2661 для использования в работе руководителями органов управления здравоохранением субъектов Российской Федерации при подготовке нормативных правовых актов, руководителями гинекологических стационаров и амбулаторно-поликлинических подразделений при организации медицинской помощи, а также для использования в учебном процессе). П. 2.</w:t>
      </w:r>
    </w:p>
    <w:p>
      <w:pPr>
        <w:spacing w:after="58"/>
      </w:pPr>
      <w:r>
        <w:rPr>
          <w:b w:val="0"/>
          <w:i w:val="0"/>
        </w:rPr>
        <w:t>Раздел 2. Обследование беременных на наличие ВИЧ-инфекции.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(протокол лечения) Российского общества акушеров-гинекологов. Применение антиретровирусных препаратов в комплексе мер, направленных на профилактику передачи ВИЧ от матери ребенку. 2015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проведения лабораторного обследования на ВИЧ пациент подписывает добровольное информированное согласие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желанию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проведения процедуры забора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присутствии юриста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обязательно</w:t>
      </w:r>
    </w:p>
    <w:p>
      <w:pPr>
        <w:spacing w:after="58"/>
      </w:pPr>
      <w:r>
        <w:rPr>
          <w:b w:val="0"/>
          <w:i w:val="0"/>
        </w:rPr>
        <w:t>Лабораторное обследование на ВИЧ выполняют при обязательном согласии пациента. Проведению этого исследования предшествует дотестовое консультирование по вопросам ВИЧ-инфекции.</w:t>
      </w:r>
    </w:p>
    <w:p>
      <w:pPr>
        <w:spacing w:after="58"/>
      </w:pPr>
      <w:r>
        <w:rPr>
          <w:b w:val="0"/>
          <w:i w:val="0"/>
        </w:rPr>
        <w:t>Рекомендации по лечению ВИЧ-инфекции и связанных с ней заболеваний, химиопрофилактике заражения ВИЧ, 2019. П.1.1.3.</w:t>
      </w:r>
    </w:p>
    <w:p>
      <w:pPr>
        <w:spacing w:after="58"/>
      </w:pPr>
      <w:r>
        <w:rPr>
          <w:b w:val="0"/>
          <w:i w:val="0"/>
        </w:rPr>
        <w:t>Раздел 1.1.3. Лабораторное подтверждение диагноза ВИЧ-инфекции.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РЕКОМЕНДАЦИИ ПО ЛЕЧЕНИЮ ВИЧ-ИНФЕКЦИИ И СВЯЗАННЫХ С НЕЙ ЗАБОЛЕВАНИЙ, ХИМИОПРОФИЛАКТИКЕ ЗАРАЖЕНИЯ ВИЧ, 2019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микробиология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malaria4.2.3222-14/" TargetMode="External"/><Relationship Id="rId22" Type="http://schemas.openxmlformats.org/officeDocument/2006/relationships/hyperlink" Target="https://library.mededtech.ru/rest/documents/malaria4.2.3222-14/#paragraph_m152v1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malaria4.2.3222-14/#paragraph_5gnkj8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malaria4.2.3222-14/#list_item_r8apli" TargetMode="External"/><Relationship Id="rId27" Type="http://schemas.openxmlformats.org/officeDocument/2006/relationships/hyperlink" Target="https://library.mededtech.ru/rest/documents/malaria4.2.3222-14/#paragraph_ue29g6" TargetMode="External"/><Relationship Id="rId28" Type="http://schemas.openxmlformats.org/officeDocument/2006/relationships/hyperlink" Target="https://library.mededtech.ru/rest/documents/malaria4.2.3222-14/#paragraph_u0ff10" TargetMode="External"/><Relationship Id="rId29" Type="http://schemas.openxmlformats.org/officeDocument/2006/relationships/hyperlink" Target="https://library.mededtech.ru/rest/documents/malaria4.2.3222-14/#4_4_4_&#1060;&#1080;&#1082;&#1089;&#1072;&#1094;&#1080;&#1103;_&#1090;&#1086;&#1085;&#1082;&#1080;&#1093;_&#1084;&#1072;&#1079;&#1082;&#1086;&#1074;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s://library.mededtech.ru/rest/documents/malaria4.2.3222-14/#paragraph_gi1n49" TargetMode="External"/><Relationship Id="rId32" Type="http://schemas.openxmlformats.org/officeDocument/2006/relationships/hyperlink" Target="https://library.mededtech.ru/rest/documents/malaria4.2.3222-14/#table_vfnv31" TargetMode="External"/><Relationship Id="rId33" Type="http://schemas.openxmlformats.org/officeDocument/2006/relationships/hyperlink" Target="https://library.mededtech.ru/rest/documents/ISBN9785970422748/?anchor=paragraph_gs9rr2#paragraph_gs9rr2" TargetMode="External"/><Relationship Id="rId34" Type="http://schemas.openxmlformats.org/officeDocument/2006/relationships/image" Target="media/image9.jpg"/><Relationship Id="rId35" Type="http://schemas.openxmlformats.org/officeDocument/2006/relationships/image" Target="media/image10.jpg"/><Relationship Id="rId36" Type="http://schemas.openxmlformats.org/officeDocument/2006/relationships/image" Target="media/image11.jpg"/><Relationship Id="rId37" Type="http://schemas.openxmlformats.org/officeDocument/2006/relationships/image" Target="media/image12.jpg"/><Relationship Id="rId38" Type="http://schemas.openxmlformats.org/officeDocument/2006/relationships/hyperlink" Target="https://library.mededtech.ru/rest/documents/Rekomendat_VICH/" TargetMode="External"/><Relationship Id="rId39" Type="http://schemas.openxmlformats.org/officeDocument/2006/relationships/hyperlink" Target="https://library.mededtech.ru/rest/documents/Rekomendat_VICH/#paragraph_hdfa5m" TargetMode="External"/><Relationship Id="rId40" Type="http://schemas.openxmlformats.org/officeDocument/2006/relationships/hyperlink" Target="https://library.mededtech.ru/rest/documents/Rekomendat_VICH/#paragraph_gfg0ik" TargetMode="External"/><Relationship Id="rId41" Type="http://schemas.openxmlformats.org/officeDocument/2006/relationships/hyperlink" Target="https://files.stroyinf.ru/Data2/1/4293750/4293750661.pdf" TargetMode="External"/><Relationship Id="rId42" Type="http://schemas.openxmlformats.org/officeDocument/2006/relationships/hyperlink" Target="https://library.mededtech.ru/rest/documents/profv/" TargetMode="External"/><Relationship Id="rId43" Type="http://schemas.openxmlformats.org/officeDocument/2006/relationships/hyperlink" Target="https://library.mededtech.ru/rest/documents/profv/#paragraph_v5buar" TargetMode="External"/><Relationship Id="rId44" Type="http://schemas.openxmlformats.org/officeDocument/2006/relationships/hyperlink" Target="https://library.mededtech.ru/rest/documents/Rekomendat_VICH/#paragraph_73lq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